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76044">
      <w:pPr>
        <w:autoSpaceDE w:val="0"/>
        <w:autoSpaceDN w:val="0"/>
        <w:adjustRightInd w:val="0"/>
        <w:jc w:val="center"/>
        <w:rPr>
          <w:rFonts w:ascii="Times New Roman" w:hAnsi="Times New Roman"/>
          <w:b/>
          <w:color w:val="000000"/>
        </w:rPr>
      </w:pPr>
      <w:r>
        <w:rPr>
          <w:rFonts w:ascii="Times New Roman" w:hAnsi="Times New Roman"/>
          <w:b/>
          <w:color w:val="000000"/>
        </w:rPr>
        <w:t>«Сценарий жазу шеберлігі»</w:t>
      </w:r>
    </w:p>
    <w:p w14:paraId="5784C2AE">
      <w:pPr>
        <w:pStyle w:val="33"/>
        <w:jc w:val="center"/>
        <w:rPr>
          <w:b/>
        </w:rPr>
      </w:pPr>
      <w:r>
        <w:rPr>
          <w:b/>
        </w:rPr>
        <w:t>пәні бойынша практикалық  жұмыстар бойынша әдістемелік нұсқаулар</w:t>
      </w:r>
    </w:p>
    <w:p w14:paraId="1B2D6CF9">
      <w:pPr>
        <w:autoSpaceDE w:val="0"/>
        <w:autoSpaceDN w:val="0"/>
        <w:adjustRightInd w:val="0"/>
        <w:jc w:val="center"/>
        <w:rPr>
          <w:rFonts w:ascii="Times New Roman" w:hAnsi="Times New Roman"/>
          <w:b/>
        </w:rPr>
      </w:pPr>
      <w:r>
        <w:rPr>
          <w:rFonts w:ascii="Times New Roman" w:hAnsi="Times New Roman"/>
          <w:b/>
        </w:rPr>
        <w:t xml:space="preserve"> </w:t>
      </w:r>
    </w:p>
    <w:p w14:paraId="38BA452E">
      <w:pPr>
        <w:autoSpaceDE w:val="0"/>
        <w:autoSpaceDN w:val="0"/>
        <w:adjustRightInd w:val="0"/>
        <w:jc w:val="center"/>
        <w:rPr>
          <w:rFonts w:ascii="Times New Roman" w:hAnsi="Times New Roman"/>
          <w:b/>
        </w:rPr>
      </w:pPr>
      <w:r>
        <w:rPr>
          <w:rFonts w:ascii="Times New Roman" w:hAnsi="Times New Roman"/>
          <w:b/>
        </w:rPr>
        <w:t>( «Журналистика», 3- курс, күндізгі, қазақ бөлімі)</w:t>
      </w:r>
    </w:p>
    <w:p w14:paraId="5CFCBC71">
      <w:pPr>
        <w:pStyle w:val="33"/>
        <w:rPr>
          <w:b/>
        </w:rPr>
      </w:pPr>
      <w:r>
        <w:rPr>
          <w:b/>
        </w:rPr>
        <w:t xml:space="preserve"> </w:t>
      </w:r>
    </w:p>
    <w:p w14:paraId="66D626DF">
      <w:pPr>
        <w:pStyle w:val="33"/>
      </w:pPr>
      <w:r>
        <w:t xml:space="preserve">СӨЖ –ді орындауға реферат, кейс, кроссворд, тапсырма және жаттығады орындау, эсселер жазу сияқты тапсырмалар беріледі. СӨЖ тиімділігі көбінде оның әдістемелік қамтылуы мен басқа да ақпараттық технологияға қолжетімділік жатады. </w:t>
      </w:r>
    </w:p>
    <w:p w14:paraId="409E2176">
      <w:pPr>
        <w:pStyle w:val="33"/>
      </w:pPr>
      <w:r>
        <w:rPr>
          <w:i/>
        </w:rPr>
        <w:t xml:space="preserve">Рефератты орындау талаптары. </w:t>
      </w:r>
      <w:r>
        <w:t xml:space="preserve">Құрылымы. Басты бет, жоспар, негізіг бөлім, қорытынды – тақырып бойынша өзіндік пікір (онда сіздің аталған проблемаға жеке қатысыңыз, шешу жодары аталуы тиіс), пайдаланылған әдебиеттер тізімі және Интернет-қорлар аталуы тиіс. Рефератта көрсетілген және дереккөздерден келтірілген мәліметтер дұрыс болуы, тақырып толықтай ашылуы тиіс. Егер талапорындалмаған жағдайда реферат студентке қайта қарастырылып, өңделу үшін қайтарылады. Рефераттар СӨЖ кезінде қорғалады. Студент алдын ала өз тобынан оппонентін таңдай отырып, проблема талқыланады. Оппонент аталған проблема жайында өз курстасына сұрақтар әзірлейді. </w:t>
      </w:r>
    </w:p>
    <w:p w14:paraId="0D768DA7">
      <w:pPr>
        <w:pStyle w:val="33"/>
      </w:pPr>
      <w:r>
        <w:t xml:space="preserve">Рефераттың таныстырылымына әр студентке кемінде 3 минуттан уақыт беріледі. Студентке материалды оқуға емес, оның мазмұынны сипаттап, баяндап беруге рұқсат етіледі. Ол оппоненті пен курстастарының сұрақтарына дайын болуы керек. </w:t>
      </w:r>
    </w:p>
    <w:p w14:paraId="1824F4B8">
      <w:pPr>
        <w:pStyle w:val="33"/>
      </w:pPr>
      <w:r>
        <w:rPr>
          <w:i/>
        </w:rPr>
        <w:t xml:space="preserve">СӨЖ мынадай қажетті формада өтуі мүмкін: </w:t>
      </w:r>
      <w:r>
        <w:t xml:space="preserve">Дискуссия , яғни,  пікірталас.  Білім берудегі ең еблсенді әдістердің бірі. Бұл ұжымдық талқылау, зерттеу, ақпартты салыстыру, идея мен пікірлерді салыстыру. Дискуссия өзіндік әдістемелік шара ретінде де немесе басқа да белсенді білім беру әдісінің элементі ретінде де өткізіледі. Мысалы: ақыл-ой талқысы, баспасөз-конференциясы. </w:t>
      </w:r>
    </w:p>
    <w:p w14:paraId="5CCD0165">
      <w:pPr>
        <w:pStyle w:val="33"/>
      </w:pPr>
      <w:r>
        <w:t xml:space="preserve">SWOT – анализ – ғыылми проблеманың немесе тұжыры-курсмдаманың күшті де әлсіз жақтарын сараптау. </w:t>
      </w:r>
    </w:p>
    <w:p w14:paraId="3FBB75A1">
      <w:pPr>
        <w:pStyle w:val="33"/>
      </w:pPr>
      <w:r>
        <w:t xml:space="preserve">Аталған ғылыми проблема жөнінде дөңгелек үстел – көптеген станымдар ұсынылатын дискуссияның ұжымдық тренинг түрінде өтуі, нәтижесінде осы проблема жайында жалпы көзқарас әзірленеді. </w:t>
      </w:r>
    </w:p>
    <w:p w14:paraId="159C7795">
      <w:pPr>
        <w:pStyle w:val="33"/>
      </w:pPr>
      <w:r>
        <w:t xml:space="preserve">Жоба әдісі – Жобаны қорғау – білім берудің инновациялық әдістерінің бірі саналады. Бұл әдіс Қазақстан жоғары оқу орындарында енгізілуде. Жобалар дербес, топтық болуы да мүмкін. Бизнес-жоспар, тактикалық және стратегиялық-жоспар құру, баспасөзге мониторинг, салыстырмалы сараптаулар жүргізу. </w:t>
      </w:r>
    </w:p>
    <w:p w14:paraId="3120088B">
      <w:pPr>
        <w:widowControl w:val="0"/>
        <w:tabs>
          <w:tab w:val="left" w:pos="255"/>
          <w:tab w:val="left" w:pos="31680"/>
        </w:tabs>
        <w:overflowPunct w:val="0"/>
        <w:autoSpaceDE w:val="0"/>
        <w:autoSpaceDN w:val="0"/>
        <w:adjustRightInd w:val="0"/>
        <w:rPr>
          <w:rFonts w:ascii="Times New Roman" w:hAnsi="Times New Roman"/>
          <w:lang w:val="ru-RU"/>
        </w:rPr>
      </w:pPr>
    </w:p>
    <w:p w14:paraId="71567EB7">
      <w:pPr>
        <w:keepNext/>
        <w:tabs>
          <w:tab w:val="center" w:pos="7215"/>
          <w:tab w:val="center" w:pos="31680"/>
        </w:tabs>
        <w:autoSpaceDE w:val="0"/>
        <w:autoSpaceDN w:val="0"/>
        <w:jc w:val="both"/>
        <w:outlineLvl w:val="1"/>
        <w:rPr>
          <w:rFonts w:ascii="Times New Roman" w:hAnsi="Times New Roman" w:eastAsia="Calibri"/>
          <w:b/>
        </w:rPr>
      </w:pPr>
      <w:r>
        <w:rPr>
          <w:rFonts w:ascii="Times New Roman" w:hAnsi="Times New Roman" w:eastAsia="Calibri"/>
          <w:b/>
        </w:rPr>
        <w:t>Оқу әдебиеттері:</w:t>
      </w:r>
    </w:p>
    <w:p w14:paraId="72306911">
      <w:pPr>
        <w:jc w:val="both"/>
        <w:rPr>
          <w:rFonts w:ascii="Times New Roman" w:hAnsi="Times New Roman" w:eastAsia="Calibri"/>
        </w:rPr>
      </w:pPr>
      <w:r>
        <w:rPr>
          <w:rFonts w:ascii="Times New Roman" w:hAnsi="Times New Roman" w:eastAsia="Calibri"/>
        </w:rPr>
        <w:t xml:space="preserve"> </w:t>
      </w:r>
    </w:p>
    <w:p w14:paraId="013F193E">
      <w:pPr>
        <w:numPr>
          <w:ilvl w:val="0"/>
          <w:numId w:val="1"/>
        </w:numPr>
        <w:rPr>
          <w:rFonts w:ascii="Times New Roman" w:hAnsi="Times New Roman"/>
        </w:rPr>
      </w:pPr>
      <w:r>
        <w:rPr>
          <w:rFonts w:ascii="Times New Roman" w:hAnsi="Times New Roman"/>
        </w:rPr>
        <w:t xml:space="preserve">Әбікенұлы Б. </w:t>
      </w:r>
      <w:r>
        <w:rPr>
          <w:rFonts w:ascii="Times New Roman" w:hAnsi="Times New Roman"/>
          <w:b/>
          <w:bCs/>
        </w:rPr>
        <w:t>Кино драматургиясы</w:t>
      </w:r>
      <w:r>
        <w:rPr>
          <w:rFonts w:ascii="Times New Roman" w:hAnsi="Times New Roman"/>
        </w:rPr>
        <w:t xml:space="preserve">. – Алматы: Қазақ университеті, 2022. </w:t>
      </w:r>
    </w:p>
    <w:p w14:paraId="0E9E5C9B">
      <w:pPr>
        <w:numPr>
          <w:ilvl w:val="0"/>
          <w:numId w:val="1"/>
        </w:numPr>
        <w:rPr>
          <w:rFonts w:ascii="Times New Roman" w:hAnsi="Times New Roman"/>
        </w:rPr>
      </w:pPr>
      <w:r>
        <w:rPr>
          <w:rFonts w:ascii="Times New Roman" w:hAnsi="Times New Roman"/>
        </w:rPr>
        <w:t xml:space="preserve">Нұрпейіс Қ. </w:t>
      </w:r>
      <w:r>
        <w:rPr>
          <w:rFonts w:ascii="Times New Roman" w:hAnsi="Times New Roman"/>
          <w:b/>
          <w:bCs/>
        </w:rPr>
        <w:t>Сценарий жазу негіздері</w:t>
      </w:r>
      <w:r>
        <w:rPr>
          <w:rFonts w:ascii="Times New Roman" w:hAnsi="Times New Roman"/>
        </w:rPr>
        <w:t xml:space="preserve">. – Алматы, 2023. </w:t>
      </w:r>
    </w:p>
    <w:p w14:paraId="11A4327E">
      <w:pPr>
        <w:numPr>
          <w:ilvl w:val="0"/>
          <w:numId w:val="1"/>
        </w:numPr>
        <w:rPr>
          <w:rFonts w:ascii="Times New Roman" w:hAnsi="Times New Roman"/>
        </w:rPr>
      </w:pPr>
      <w:r>
        <w:rPr>
          <w:rFonts w:ascii="Times New Roman" w:hAnsi="Times New Roman"/>
        </w:rPr>
        <w:t xml:space="preserve">Әшімбаев С. </w:t>
      </w:r>
      <w:r>
        <w:rPr>
          <w:rFonts w:ascii="Times New Roman" w:hAnsi="Times New Roman"/>
          <w:b/>
          <w:bCs/>
        </w:rPr>
        <w:t>Экран драматургиясы</w:t>
      </w:r>
      <w:r>
        <w:rPr>
          <w:rFonts w:ascii="Times New Roman" w:hAnsi="Times New Roman"/>
        </w:rPr>
        <w:t xml:space="preserve">. – Алматы, 2024. </w:t>
      </w:r>
    </w:p>
    <w:p w14:paraId="2879A752">
      <w:pPr>
        <w:numPr>
          <w:ilvl w:val="0"/>
          <w:numId w:val="1"/>
        </w:numPr>
        <w:rPr>
          <w:rFonts w:ascii="Times New Roman" w:hAnsi="Times New Roman"/>
        </w:rPr>
      </w:pPr>
      <w:r>
        <w:rPr>
          <w:rFonts w:ascii="Times New Roman" w:hAnsi="Times New Roman"/>
        </w:rPr>
        <w:t xml:space="preserve">Қалибекова А. </w:t>
      </w:r>
      <w:r>
        <w:rPr>
          <w:rFonts w:ascii="Times New Roman" w:hAnsi="Times New Roman"/>
          <w:b/>
          <w:bCs/>
        </w:rPr>
        <w:t>Кино мәтінін талдау әдістері</w:t>
      </w:r>
      <w:r>
        <w:rPr>
          <w:rFonts w:ascii="Times New Roman" w:hAnsi="Times New Roman"/>
        </w:rPr>
        <w:t xml:space="preserve">. – Алматы, 2022. </w:t>
      </w:r>
    </w:p>
    <w:p w14:paraId="777611EB">
      <w:pPr>
        <w:numPr>
          <w:ilvl w:val="0"/>
          <w:numId w:val="1"/>
        </w:numPr>
        <w:rPr>
          <w:rFonts w:ascii="Times New Roman" w:hAnsi="Times New Roman"/>
        </w:rPr>
      </w:pPr>
      <w:r>
        <w:rPr>
          <w:rFonts w:ascii="Times New Roman" w:hAnsi="Times New Roman"/>
        </w:rPr>
        <w:t xml:space="preserve">Төлеубек Е. </w:t>
      </w:r>
      <w:r>
        <w:rPr>
          <w:rFonts w:ascii="Times New Roman" w:hAnsi="Times New Roman"/>
          <w:b/>
          <w:bCs/>
        </w:rPr>
        <w:t>Қазіргі медиа сценарийлері</w:t>
      </w:r>
      <w:r>
        <w:rPr>
          <w:rFonts w:ascii="Times New Roman" w:hAnsi="Times New Roman"/>
        </w:rPr>
        <w:t xml:space="preserve">. – Алматы, 2025. </w:t>
      </w:r>
    </w:p>
    <w:p w14:paraId="7D68A08D">
      <w:pPr>
        <w:rPr>
          <w:rFonts w:ascii="Times New Roman" w:hAnsi="Times New Roman"/>
          <w:b/>
          <w:bCs/>
        </w:rPr>
      </w:pPr>
      <w:r>
        <w:rPr>
          <w:rFonts w:ascii="Times New Roman" w:hAnsi="Times New Roman" w:eastAsia="Calibri"/>
          <w:b/>
          <w:bCs/>
        </w:rPr>
        <w:t>Қосымша:</w:t>
      </w:r>
      <w:r>
        <w:rPr>
          <w:rFonts w:ascii="Times New Roman" w:hAnsi="Times New Roman"/>
          <w:b/>
          <w:bCs/>
        </w:rPr>
        <w:t xml:space="preserve"> </w:t>
      </w:r>
    </w:p>
    <w:p w14:paraId="7DD70F12">
      <w:pPr>
        <w:numPr>
          <w:ilvl w:val="0"/>
          <w:numId w:val="2"/>
        </w:numPr>
        <w:rPr>
          <w:rFonts w:ascii="Times New Roman" w:hAnsi="Times New Roman"/>
        </w:rPr>
      </w:pPr>
      <w:r>
        <w:rPr>
          <w:rFonts w:ascii="Times New Roman" w:hAnsi="Times New Roman"/>
        </w:rPr>
        <w:t xml:space="preserve">Смайылов С. Тележурналистика. – Алматы: Қазақ университеті, 2013. </w:t>
      </w:r>
    </w:p>
    <w:p w14:paraId="46BFF732">
      <w:pPr>
        <w:numPr>
          <w:ilvl w:val="0"/>
          <w:numId w:val="2"/>
        </w:numPr>
        <w:rPr>
          <w:rFonts w:ascii="Times New Roman" w:hAnsi="Times New Roman"/>
        </w:rPr>
      </w:pPr>
      <w:r>
        <w:rPr>
          <w:rFonts w:ascii="Times New Roman" w:hAnsi="Times New Roman"/>
        </w:rPr>
        <w:t xml:space="preserve">Омашев Н. Телерадиожурналистика. – Алматы: Қазақ университеті, 2012. </w:t>
      </w:r>
    </w:p>
    <w:p w14:paraId="039AACCC">
      <w:pPr>
        <w:numPr>
          <w:ilvl w:val="0"/>
          <w:numId w:val="2"/>
        </w:numPr>
        <w:rPr>
          <w:rFonts w:ascii="Times New Roman" w:hAnsi="Times New Roman"/>
        </w:rPr>
      </w:pPr>
      <w:r>
        <w:rPr>
          <w:rFonts w:ascii="Times New Roman" w:hAnsi="Times New Roman"/>
        </w:rPr>
        <w:t>Қожакеев Т. Жас тілшілер серігі. – Алматы: Санат, 1998.</w:t>
      </w:r>
    </w:p>
    <w:p w14:paraId="75C944FB">
      <w:pPr>
        <w:numPr>
          <w:ilvl w:val="0"/>
          <w:numId w:val="2"/>
        </w:numPr>
        <w:rPr>
          <w:rFonts w:ascii="Times New Roman" w:hAnsi="Times New Roman"/>
        </w:rPr>
      </w:pPr>
      <w:r>
        <w:rPr>
          <w:rFonts w:ascii="Times New Roman" w:hAnsi="Times New Roman" w:eastAsia="Calibri"/>
        </w:rPr>
        <w:t>Ұлттық арна ұлағаты. Алматы,2008 ж</w:t>
      </w:r>
    </w:p>
    <w:p w14:paraId="78C9FD49">
      <w:pPr>
        <w:widowControl w:val="0"/>
        <w:tabs>
          <w:tab w:val="left" w:pos="255"/>
          <w:tab w:val="left" w:pos="31680"/>
        </w:tabs>
        <w:overflowPunct w:val="0"/>
        <w:autoSpaceDE w:val="0"/>
        <w:autoSpaceDN w:val="0"/>
        <w:adjustRightInd w:val="0"/>
        <w:rPr>
          <w:rFonts w:ascii="Times New Roman" w:hAnsi="Times New Roman"/>
          <w:lang w:val="ru-RU"/>
        </w:rPr>
      </w:pPr>
      <w:bookmarkStart w:id="0" w:name="_GoBack"/>
      <w:bookmarkEnd w:id="0"/>
    </w:p>
    <w:p w14:paraId="171D6DF8">
      <w:pPr>
        <w:widowControl w:val="0"/>
        <w:tabs>
          <w:tab w:val="left" w:pos="255"/>
          <w:tab w:val="left" w:pos="31680"/>
        </w:tabs>
        <w:overflowPunct w:val="0"/>
        <w:autoSpaceDE w:val="0"/>
        <w:autoSpaceDN w:val="0"/>
        <w:adjustRightInd w:val="0"/>
        <w:rPr>
          <w:rFonts w:ascii="Times New Roman" w:hAnsi="Times New Roman"/>
          <w:b/>
        </w:rPr>
      </w:pPr>
      <w:r>
        <w:rPr>
          <w:rFonts w:ascii="Times New Roman" w:hAnsi="Times New Roman"/>
          <w:b/>
        </w:rPr>
        <w:t xml:space="preserve"> </w:t>
      </w:r>
    </w:p>
    <w:p w14:paraId="5F107FB6">
      <w:pPr>
        <w:keepNext/>
        <w:tabs>
          <w:tab w:val="center" w:pos="7215"/>
          <w:tab w:val="center" w:pos="31680"/>
        </w:tabs>
        <w:autoSpaceDE w:val="0"/>
        <w:autoSpaceDN w:val="0"/>
        <w:outlineLvl w:val="1"/>
        <w:rPr>
          <w:rFonts w:ascii="Times New Roman" w:hAnsi="Times New Roman"/>
        </w:rPr>
      </w:pPr>
      <w:r>
        <w:rPr>
          <w:rFonts w:ascii="Times New Roman" w:hAnsi="Times New Roman"/>
        </w:rPr>
        <w:t>Пәнді оқытуға арналған материалдар телекино  саласына білікті  мамандарды даярлау барысында  қажетті болатын мәліметтермен қамтылған. Бұл курсты оқытуда көлемді теориялық материалдармен  қатар ауқымды видеоматериалдар, оқу құралдары мен оқулықтар, арнайы презентациялар қолданылады. Үйге берілген тапсырмалар теориялық материалдарды практика жүзінде іске асыруға  мүмкіндік береді.</w:t>
      </w:r>
    </w:p>
    <w:p w14:paraId="170040F0">
      <w:r>
        <w:rPr>
          <w:rFonts w:hint="eastAsia"/>
        </w:rPr>
        <w:t xml:space="preserve"> </w:t>
      </w:r>
    </w:p>
    <w:p w14:paraId="75934E38"/>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DengXian Light">
    <w:panose1 w:val="02010600030101010101"/>
    <w:charset w:val="86"/>
    <w:family w:val="auto"/>
    <w:pitch w:val="default"/>
    <w:sig w:usb0="A00002BF" w:usb1="38CF7CFA" w:usb2="00000016" w:usb3="00000000" w:csb0="0004000F" w:csb1="00000000"/>
  </w:font>
  <w:font w:name="Calibri">
    <w:panose1 w:val="020F0502020204030204"/>
    <w:charset w:val="CC"/>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3D369D"/>
    <w:multiLevelType w:val="multilevel"/>
    <w:tmpl w:val="0C3D369D"/>
    <w:lvl w:ilvl="0" w:tentative="0">
      <w:start w:val="1"/>
      <w:numFmt w:val="decimal"/>
      <w:lvlText w:val="%1."/>
      <w:lvlJc w:val="left"/>
      <w:pPr>
        <w:tabs>
          <w:tab w:val="left" w:pos="0"/>
          <w:tab w:val="left" w:pos="540"/>
          <w:tab w:val="left" w:pos="720"/>
        </w:tabs>
        <w:ind w:left="720" w:hanging="360"/>
      </w:pPr>
      <w:rPr>
        <w:rFonts w:hint="default" w:ascii="Times New Roman" w:hAnsi="Times New Roman" w:cs="Times New Roman"/>
      </w:rPr>
    </w:lvl>
    <w:lvl w:ilvl="1" w:tentative="0">
      <w:start w:val="1"/>
      <w:numFmt w:val="decimal"/>
      <w:lvlText w:val="%2."/>
      <w:lvlJc w:val="left"/>
      <w:pPr>
        <w:tabs>
          <w:tab w:val="left" w:pos="0"/>
          <w:tab w:val="left" w:pos="1080"/>
          <w:tab w:val="left" w:pos="1440"/>
        </w:tabs>
        <w:ind w:left="1440" w:hanging="360"/>
      </w:pPr>
      <w:rPr>
        <w:rFonts w:hint="default" w:ascii="Times New Roman" w:hAnsi="Times New Roman" w:cs="Times New Roman"/>
      </w:rPr>
    </w:lvl>
    <w:lvl w:ilvl="2" w:tentative="0">
      <w:start w:val="1"/>
      <w:numFmt w:val="decimal"/>
      <w:lvlText w:val="%3."/>
      <w:lvlJc w:val="left"/>
      <w:pPr>
        <w:tabs>
          <w:tab w:val="left" w:pos="0"/>
          <w:tab w:val="left" w:pos="1620"/>
          <w:tab w:val="left" w:pos="2160"/>
        </w:tabs>
        <w:ind w:left="2160" w:hanging="360"/>
      </w:pPr>
      <w:rPr>
        <w:rFonts w:hint="default" w:ascii="Times New Roman" w:hAnsi="Times New Roman" w:cs="Times New Roman"/>
      </w:rPr>
    </w:lvl>
    <w:lvl w:ilvl="3" w:tentative="0">
      <w:start w:val="1"/>
      <w:numFmt w:val="decimal"/>
      <w:lvlText w:val="%4."/>
      <w:lvlJc w:val="left"/>
      <w:pPr>
        <w:tabs>
          <w:tab w:val="left" w:pos="0"/>
          <w:tab w:val="left" w:pos="2160"/>
          <w:tab w:val="left" w:pos="2880"/>
        </w:tabs>
        <w:ind w:left="2880" w:hanging="360"/>
      </w:pPr>
      <w:rPr>
        <w:rFonts w:hint="default" w:ascii="Times New Roman" w:hAnsi="Times New Roman" w:cs="Times New Roman"/>
      </w:rPr>
    </w:lvl>
    <w:lvl w:ilvl="4" w:tentative="0">
      <w:start w:val="1"/>
      <w:numFmt w:val="decimal"/>
      <w:lvlText w:val="%5."/>
      <w:lvlJc w:val="left"/>
      <w:pPr>
        <w:tabs>
          <w:tab w:val="left" w:pos="0"/>
          <w:tab w:val="left" w:pos="2700"/>
          <w:tab w:val="left" w:pos="3600"/>
        </w:tabs>
        <w:ind w:left="3600" w:hanging="360"/>
      </w:pPr>
      <w:rPr>
        <w:rFonts w:hint="default" w:ascii="Times New Roman" w:hAnsi="Times New Roman" w:cs="Times New Roman"/>
      </w:rPr>
    </w:lvl>
    <w:lvl w:ilvl="5" w:tentative="0">
      <w:start w:val="1"/>
      <w:numFmt w:val="decimal"/>
      <w:lvlText w:val="%6."/>
      <w:lvlJc w:val="left"/>
      <w:pPr>
        <w:tabs>
          <w:tab w:val="left" w:pos="0"/>
          <w:tab w:val="left" w:pos="3240"/>
          <w:tab w:val="left" w:pos="4320"/>
        </w:tabs>
        <w:ind w:left="4320" w:hanging="360"/>
      </w:pPr>
      <w:rPr>
        <w:rFonts w:hint="default" w:ascii="Times New Roman" w:hAnsi="Times New Roman" w:cs="Times New Roman"/>
      </w:rPr>
    </w:lvl>
    <w:lvl w:ilvl="6" w:tentative="0">
      <w:start w:val="1"/>
      <w:numFmt w:val="decimal"/>
      <w:lvlText w:val="%7."/>
      <w:lvlJc w:val="left"/>
      <w:pPr>
        <w:tabs>
          <w:tab w:val="left" w:pos="0"/>
          <w:tab w:val="left" w:pos="3780"/>
          <w:tab w:val="left" w:pos="5040"/>
        </w:tabs>
        <w:ind w:left="5040" w:hanging="360"/>
      </w:pPr>
      <w:rPr>
        <w:rFonts w:hint="default" w:ascii="Times New Roman" w:hAnsi="Times New Roman" w:cs="Times New Roman"/>
      </w:rPr>
    </w:lvl>
    <w:lvl w:ilvl="7" w:tentative="0">
      <w:start w:val="1"/>
      <w:numFmt w:val="decimal"/>
      <w:lvlText w:val="%8."/>
      <w:lvlJc w:val="left"/>
      <w:pPr>
        <w:tabs>
          <w:tab w:val="left" w:pos="0"/>
          <w:tab w:val="left" w:pos="4320"/>
          <w:tab w:val="left" w:pos="5760"/>
        </w:tabs>
        <w:ind w:left="5760" w:hanging="360"/>
      </w:pPr>
      <w:rPr>
        <w:rFonts w:hint="default" w:ascii="Times New Roman" w:hAnsi="Times New Roman" w:cs="Times New Roman"/>
      </w:rPr>
    </w:lvl>
    <w:lvl w:ilvl="8" w:tentative="0">
      <w:start w:val="1"/>
      <w:numFmt w:val="decimal"/>
      <w:lvlText w:val="%9."/>
      <w:lvlJc w:val="left"/>
      <w:pPr>
        <w:tabs>
          <w:tab w:val="left" w:pos="0"/>
          <w:tab w:val="left" w:pos="4860"/>
          <w:tab w:val="left" w:pos="6480"/>
        </w:tabs>
        <w:ind w:left="6480" w:hanging="360"/>
      </w:pPr>
      <w:rPr>
        <w:rFonts w:hint="default" w:ascii="Times New Roman" w:hAnsi="Times New Roman" w:cs="Times New Roman"/>
      </w:rPr>
    </w:lvl>
  </w:abstractNum>
  <w:abstractNum w:abstractNumId="1">
    <w:nsid w:val="4ED17066"/>
    <w:multiLevelType w:val="multilevel"/>
    <w:tmpl w:val="4ED17066"/>
    <w:lvl w:ilvl="0" w:tentative="0">
      <w:start w:val="1"/>
      <w:numFmt w:val="decimal"/>
      <w:lvlText w:val="%1."/>
      <w:lvlJc w:val="left"/>
      <w:pPr>
        <w:tabs>
          <w:tab w:val="left" w:pos="0"/>
          <w:tab w:val="left" w:pos="540"/>
          <w:tab w:val="left" w:pos="720"/>
        </w:tabs>
        <w:ind w:left="720" w:hanging="360"/>
      </w:pPr>
      <w:rPr>
        <w:rFonts w:hint="default" w:ascii="Times New Roman" w:hAnsi="Times New Roman" w:cs="Times New Roman"/>
      </w:rPr>
    </w:lvl>
    <w:lvl w:ilvl="1" w:tentative="0">
      <w:start w:val="1"/>
      <w:numFmt w:val="decimal"/>
      <w:lvlText w:val="%2."/>
      <w:lvlJc w:val="left"/>
      <w:pPr>
        <w:tabs>
          <w:tab w:val="left" w:pos="0"/>
          <w:tab w:val="left" w:pos="1080"/>
          <w:tab w:val="left" w:pos="1440"/>
        </w:tabs>
        <w:ind w:left="1440" w:hanging="360"/>
      </w:pPr>
      <w:rPr>
        <w:rFonts w:hint="default" w:ascii="Times New Roman" w:hAnsi="Times New Roman" w:cs="Times New Roman"/>
      </w:rPr>
    </w:lvl>
    <w:lvl w:ilvl="2" w:tentative="0">
      <w:start w:val="1"/>
      <w:numFmt w:val="decimal"/>
      <w:lvlText w:val="%3."/>
      <w:lvlJc w:val="left"/>
      <w:pPr>
        <w:tabs>
          <w:tab w:val="left" w:pos="0"/>
          <w:tab w:val="left" w:pos="1620"/>
          <w:tab w:val="left" w:pos="2160"/>
        </w:tabs>
        <w:ind w:left="2160" w:hanging="360"/>
      </w:pPr>
      <w:rPr>
        <w:rFonts w:hint="default" w:ascii="Times New Roman" w:hAnsi="Times New Roman" w:cs="Times New Roman"/>
      </w:rPr>
    </w:lvl>
    <w:lvl w:ilvl="3" w:tentative="0">
      <w:start w:val="1"/>
      <w:numFmt w:val="decimal"/>
      <w:lvlText w:val="%4."/>
      <w:lvlJc w:val="left"/>
      <w:pPr>
        <w:tabs>
          <w:tab w:val="left" w:pos="0"/>
          <w:tab w:val="left" w:pos="2160"/>
          <w:tab w:val="left" w:pos="2880"/>
        </w:tabs>
        <w:ind w:left="2880" w:hanging="360"/>
      </w:pPr>
      <w:rPr>
        <w:rFonts w:hint="default" w:ascii="Times New Roman" w:hAnsi="Times New Roman" w:cs="Times New Roman"/>
      </w:rPr>
    </w:lvl>
    <w:lvl w:ilvl="4" w:tentative="0">
      <w:start w:val="1"/>
      <w:numFmt w:val="decimal"/>
      <w:lvlText w:val="%5."/>
      <w:lvlJc w:val="left"/>
      <w:pPr>
        <w:tabs>
          <w:tab w:val="left" w:pos="0"/>
          <w:tab w:val="left" w:pos="2700"/>
          <w:tab w:val="left" w:pos="3600"/>
        </w:tabs>
        <w:ind w:left="3600" w:hanging="360"/>
      </w:pPr>
      <w:rPr>
        <w:rFonts w:hint="default" w:ascii="Times New Roman" w:hAnsi="Times New Roman" w:cs="Times New Roman"/>
      </w:rPr>
    </w:lvl>
    <w:lvl w:ilvl="5" w:tentative="0">
      <w:start w:val="1"/>
      <w:numFmt w:val="decimal"/>
      <w:lvlText w:val="%6."/>
      <w:lvlJc w:val="left"/>
      <w:pPr>
        <w:tabs>
          <w:tab w:val="left" w:pos="0"/>
          <w:tab w:val="left" w:pos="3240"/>
          <w:tab w:val="left" w:pos="4320"/>
        </w:tabs>
        <w:ind w:left="4320" w:hanging="360"/>
      </w:pPr>
      <w:rPr>
        <w:rFonts w:hint="default" w:ascii="Times New Roman" w:hAnsi="Times New Roman" w:cs="Times New Roman"/>
      </w:rPr>
    </w:lvl>
    <w:lvl w:ilvl="6" w:tentative="0">
      <w:start w:val="1"/>
      <w:numFmt w:val="decimal"/>
      <w:lvlText w:val="%7."/>
      <w:lvlJc w:val="left"/>
      <w:pPr>
        <w:tabs>
          <w:tab w:val="left" w:pos="0"/>
          <w:tab w:val="left" w:pos="3780"/>
          <w:tab w:val="left" w:pos="5040"/>
        </w:tabs>
        <w:ind w:left="5040" w:hanging="360"/>
      </w:pPr>
      <w:rPr>
        <w:rFonts w:hint="default" w:ascii="Times New Roman" w:hAnsi="Times New Roman" w:cs="Times New Roman"/>
      </w:rPr>
    </w:lvl>
    <w:lvl w:ilvl="7" w:tentative="0">
      <w:start w:val="1"/>
      <w:numFmt w:val="decimal"/>
      <w:lvlText w:val="%8."/>
      <w:lvlJc w:val="left"/>
      <w:pPr>
        <w:tabs>
          <w:tab w:val="left" w:pos="0"/>
          <w:tab w:val="left" w:pos="4320"/>
          <w:tab w:val="left" w:pos="5760"/>
        </w:tabs>
        <w:ind w:left="5760" w:hanging="360"/>
      </w:pPr>
      <w:rPr>
        <w:rFonts w:hint="default" w:ascii="Times New Roman" w:hAnsi="Times New Roman" w:cs="Times New Roman"/>
      </w:rPr>
    </w:lvl>
    <w:lvl w:ilvl="8" w:tentative="0">
      <w:start w:val="1"/>
      <w:numFmt w:val="decimal"/>
      <w:lvlText w:val="%9."/>
      <w:lvlJc w:val="left"/>
      <w:pPr>
        <w:tabs>
          <w:tab w:val="left" w:pos="0"/>
          <w:tab w:val="left" w:pos="4860"/>
          <w:tab w:val="left" w:pos="6480"/>
        </w:tabs>
        <w:ind w:left="6480" w:hanging="360"/>
      </w:pPr>
      <w:rPr>
        <w:rFonts w:hint="default" w:ascii="Times New Roman" w:hAnsi="Times New Roman"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5D2"/>
    <w:rsid w:val="00780F04"/>
    <w:rsid w:val="007F35D2"/>
    <w:rsid w:val="6610107E"/>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before="100" w:beforeAutospacing="1" w:after="100" w:afterAutospacing="1" w:line="273" w:lineRule="auto"/>
    </w:pPr>
    <w:rPr>
      <w:rFonts w:ascii="DengXian" w:hAnsi="DengXian" w:eastAsia="DengXian" w:cs="Times New Roman"/>
      <w:kern w:val="0"/>
      <w:sz w:val="24"/>
      <w:szCs w:val="24"/>
      <w:lang w:val="zh-CN" w:eastAsia="zh-CN" w:bidi="ar-SA"/>
      <w14:ligatures w14:val="none"/>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4">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15">
    <w:name w:val="Заголовок 1 Знак"/>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6">
    <w:name w:val="Заголовок 2 Знак"/>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7">
    <w:name w:val="Заголовок 3 Знак"/>
    <w:basedOn w:val="11"/>
    <w:link w:val="4"/>
    <w:semiHidden/>
    <w:qFormat/>
    <w:uiPriority w:val="9"/>
    <w:rPr>
      <w:rFonts w:eastAsiaTheme="majorEastAsia" w:cstheme="majorBidi"/>
      <w:color w:val="104862" w:themeColor="accent1" w:themeShade="BF"/>
      <w:sz w:val="28"/>
      <w:szCs w:val="28"/>
    </w:rPr>
  </w:style>
  <w:style w:type="character" w:customStyle="1" w:styleId="18">
    <w:name w:val="Заголовок 4 Знак"/>
    <w:basedOn w:val="11"/>
    <w:link w:val="5"/>
    <w:semiHidden/>
    <w:qFormat/>
    <w:uiPriority w:val="9"/>
    <w:rPr>
      <w:rFonts w:eastAsiaTheme="majorEastAsia" w:cstheme="majorBidi"/>
      <w:i/>
      <w:iCs/>
      <w:color w:val="104862" w:themeColor="accent1" w:themeShade="BF"/>
    </w:rPr>
  </w:style>
  <w:style w:type="character" w:customStyle="1" w:styleId="19">
    <w:name w:val="Заголовок 5 Знак"/>
    <w:basedOn w:val="11"/>
    <w:link w:val="6"/>
    <w:semiHidden/>
    <w:qFormat/>
    <w:uiPriority w:val="9"/>
    <w:rPr>
      <w:rFonts w:eastAsiaTheme="majorEastAsia" w:cstheme="majorBidi"/>
      <w:color w:val="104862" w:themeColor="accent1" w:themeShade="BF"/>
    </w:rPr>
  </w:style>
  <w:style w:type="character" w:customStyle="1" w:styleId="20">
    <w:name w:val="Заголовок 6 Знак"/>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Заголовок 7 Знак"/>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Заголовок 8 Знак"/>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Заголовок 9 Знак"/>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Заголовок Знак"/>
    <w:basedOn w:val="11"/>
    <w:link w:val="13"/>
    <w:uiPriority w:val="10"/>
    <w:rPr>
      <w:rFonts w:asciiTheme="majorHAnsi" w:hAnsiTheme="majorHAnsi" w:eastAsiaTheme="majorEastAsia" w:cstheme="majorBidi"/>
      <w:spacing w:val="-10"/>
      <w:kern w:val="28"/>
      <w:sz w:val="56"/>
      <w:szCs w:val="56"/>
    </w:rPr>
  </w:style>
  <w:style w:type="character" w:customStyle="1" w:styleId="25">
    <w:name w:val="Подзаголовок Знак"/>
    <w:basedOn w:val="11"/>
    <w:link w:val="1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Цитата 2 Знак"/>
    <w:basedOn w:val="11"/>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Выделенная цитата Знак"/>
    <w:basedOn w:val="11"/>
    <w:link w:val="30"/>
    <w:qFormat/>
    <w:uiPriority w:val="30"/>
    <w:rPr>
      <w:i/>
      <w:iCs/>
      <w:color w:val="104862" w:themeColor="accent1" w:themeShade="BF"/>
    </w:rPr>
  </w:style>
  <w:style w:type="character" w:customStyle="1" w:styleId="32">
    <w:name w:val="Intense Reference"/>
    <w:basedOn w:val="11"/>
    <w:qFormat/>
    <w:uiPriority w:val="32"/>
    <w:rPr>
      <w:b/>
      <w:bCs/>
      <w:smallCaps/>
      <w:color w:val="104862" w:themeColor="accent1" w:themeShade="BF"/>
      <w:spacing w:val="5"/>
    </w:rPr>
  </w:style>
  <w:style w:type="paragraph" w:customStyle="1" w:styleId="33">
    <w:name w:val="Обычный (веб)1"/>
    <w:basedOn w:val="1"/>
    <w:semiHidden/>
    <w:uiPriority w:val="0"/>
    <w:pPr>
      <w:spacing w:line="240" w:lineRule="auto"/>
    </w:pPr>
    <w:rPr>
      <w:rFonts w:ascii="Times New Roman" w:hAnsi="Times New Roman" w:eastAsia="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2</Pages>
  <Words>354</Words>
  <Characters>2550</Characters>
  <Lines>20</Lines>
  <Paragraphs>5</Paragraphs>
  <TotalTime>0</TotalTime>
  <ScaleCrop>false</ScaleCrop>
  <LinksUpToDate>false</LinksUpToDate>
  <CharactersWithSpaces>2911</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2026-07-01T09:08:00Z</dcterms:created>
  <dc:creator>Жубаев Иманбай</dc:creator>
  <cp:lastModifiedBy>Жубаев Иманбай</cp:lastModifiedBy>
  <dcterms:modified xsi:type="dcterms:W3CDTF">2026-07-01T09:11:39Z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eyJoZGlkIjoiNjJkYWZjZTI4MjgwY2MzN2QxMGQzMjdlMDU0YWI0NTIifQ==</vt:lpwstr>
  </property>
  <property fmtid="{D5CDD505-2E9C-101B-9397-08002B2CF9AE}" pid="3" name="KSOProductBuildVer">
    <vt:lpwstr>1049-12.1.0.26880</vt:lpwstr>
  </property>
  <property fmtid="{D5CDD505-2E9C-101B-9397-08002B2CF9AE}" pid="4" name="ICV">
    <vt:lpwstr>D9980B7536AF41CA8EC08FD5F4B2504C_12</vt:lpwstr>
  </property>
</Properties>
</file>